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99" w:rsidRPr="00483A99" w:rsidRDefault="00483A99" w:rsidP="00483A99">
      <w:pPr>
        <w:rPr>
          <w:rFonts w:ascii="仿宋_GB2312" w:eastAsia="仿宋_GB2312"/>
          <w:sz w:val="32"/>
          <w:szCs w:val="32"/>
        </w:rPr>
      </w:pPr>
      <w:r>
        <w:rPr>
          <w:rFonts w:ascii="黑体" w:eastAsia="黑体" w:hint="eastAsia"/>
          <w:sz w:val="32"/>
          <w:szCs w:val="32"/>
        </w:rPr>
        <w:t>附件2</w:t>
      </w:r>
    </w:p>
    <w:p w:rsidR="00483A99" w:rsidRDefault="00483A99" w:rsidP="00483A9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大型科研设施与仪器开放共享评价考核指标</w:t>
      </w:r>
    </w:p>
    <w:tbl>
      <w:tblPr>
        <w:tblW w:w="89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tblPr>
      <w:tblGrid>
        <w:gridCol w:w="1484"/>
        <w:gridCol w:w="1894"/>
        <w:gridCol w:w="5579"/>
      </w:tblGrid>
      <w:tr w:rsidR="00483A99" w:rsidTr="008333E4">
        <w:trPr>
          <w:trHeight w:val="454"/>
          <w:tblHeader/>
          <w:jc w:val="center"/>
        </w:trPr>
        <w:tc>
          <w:tcPr>
            <w:tcW w:w="1560" w:type="dxa"/>
            <w:vAlign w:val="center"/>
          </w:tcPr>
          <w:p w:rsidR="00483A99" w:rsidRDefault="00483A99" w:rsidP="008333E4">
            <w:pPr>
              <w:spacing w:line="280" w:lineRule="exact"/>
              <w:jc w:val="center"/>
              <w:rPr>
                <w:rFonts w:ascii="黑体" w:eastAsia="黑体" w:hAnsi="黑体" w:cs="黑体"/>
                <w:bCs/>
                <w:sz w:val="24"/>
              </w:rPr>
            </w:pPr>
            <w:r>
              <w:rPr>
                <w:rFonts w:ascii="黑体" w:eastAsia="黑体" w:hAnsi="黑体" w:cs="黑体" w:hint="eastAsia"/>
                <w:bCs/>
                <w:sz w:val="24"/>
              </w:rPr>
              <w:t>一级指标</w:t>
            </w:r>
          </w:p>
        </w:tc>
        <w:tc>
          <w:tcPr>
            <w:tcW w:w="1985" w:type="dxa"/>
            <w:vAlign w:val="center"/>
          </w:tcPr>
          <w:p w:rsidR="00483A99" w:rsidRDefault="00483A99" w:rsidP="008333E4">
            <w:pPr>
              <w:spacing w:line="280" w:lineRule="exact"/>
              <w:jc w:val="center"/>
              <w:rPr>
                <w:rFonts w:ascii="黑体" w:eastAsia="黑体" w:hAnsi="黑体" w:cs="黑体"/>
                <w:bCs/>
                <w:sz w:val="24"/>
              </w:rPr>
            </w:pPr>
            <w:r>
              <w:rPr>
                <w:rFonts w:ascii="黑体" w:eastAsia="黑体" w:hAnsi="黑体" w:cs="黑体" w:hint="eastAsia"/>
                <w:bCs/>
                <w:sz w:val="24"/>
              </w:rPr>
              <w:t>二级指标</w:t>
            </w:r>
          </w:p>
        </w:tc>
        <w:tc>
          <w:tcPr>
            <w:tcW w:w="5953" w:type="dxa"/>
            <w:vAlign w:val="center"/>
          </w:tcPr>
          <w:p w:rsidR="00483A99" w:rsidRDefault="00483A99" w:rsidP="008333E4">
            <w:pPr>
              <w:spacing w:line="280" w:lineRule="exact"/>
              <w:jc w:val="center"/>
              <w:rPr>
                <w:rFonts w:ascii="黑体" w:eastAsia="黑体" w:hAnsi="黑体" w:cs="黑体"/>
                <w:bCs/>
                <w:sz w:val="24"/>
              </w:rPr>
            </w:pPr>
            <w:r>
              <w:rPr>
                <w:rFonts w:ascii="黑体" w:eastAsia="黑体" w:hAnsi="黑体" w:cs="黑体" w:hint="eastAsia"/>
                <w:bCs/>
                <w:sz w:val="24"/>
              </w:rPr>
              <w:t>三级指标</w:t>
            </w:r>
          </w:p>
        </w:tc>
      </w:tr>
      <w:tr w:rsidR="00483A99" w:rsidTr="008333E4">
        <w:trPr>
          <w:trHeight w:val="522"/>
          <w:jc w:val="center"/>
        </w:trPr>
        <w:tc>
          <w:tcPr>
            <w:tcW w:w="1560" w:type="dxa"/>
            <w:vMerge w:val="restart"/>
            <w:vAlign w:val="center"/>
          </w:tcPr>
          <w:p w:rsidR="00483A99" w:rsidRDefault="00483A99" w:rsidP="008333E4">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组织管理</w:t>
            </w:r>
          </w:p>
          <w:p w:rsidR="00483A99" w:rsidRDefault="00483A99" w:rsidP="008333E4">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p w:rsidR="00483A99" w:rsidRDefault="00483A99" w:rsidP="008333E4">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（40分）</w:t>
            </w:r>
          </w:p>
        </w:tc>
        <w:tc>
          <w:tcPr>
            <w:tcW w:w="1985" w:type="dxa"/>
            <w:vMerge w:val="restart"/>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科研仪器统筹管理情况（10分）</w:t>
            </w: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是否制定了大型科研设施与仪器开放、运行、维护、使用管理制度（4分）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Merge/>
            <w:vAlign w:val="center"/>
          </w:tcPr>
          <w:p w:rsidR="00483A99" w:rsidRDefault="00483A99" w:rsidP="008333E4">
            <w:pPr>
              <w:spacing w:line="280" w:lineRule="exact"/>
              <w:rPr>
                <w:rFonts w:ascii="仿宋_GB2312" w:eastAsia="仿宋_GB2312" w:hAnsi="仿宋_GB2312" w:cs="仿宋_GB2312"/>
                <w:sz w:val="24"/>
              </w:rPr>
            </w:pP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管理单位内部是否设立相关部门或委托第三方机构对于通用性大型科学仪器设备开展集中集约化管理（3分）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Merge/>
            <w:vAlign w:val="center"/>
          </w:tcPr>
          <w:p w:rsidR="00483A99" w:rsidRDefault="00483A99" w:rsidP="008333E4">
            <w:pPr>
              <w:spacing w:line="280" w:lineRule="exact"/>
              <w:rPr>
                <w:rFonts w:ascii="仿宋_GB2312" w:eastAsia="仿宋_GB2312" w:hAnsi="仿宋_GB2312" w:cs="仿宋_GB2312"/>
                <w:sz w:val="24"/>
              </w:rPr>
            </w:pP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管理单位是否有效组织高水平的设施应用专业团队对符合开放条件的专用科研设施与仪器进行管理（3分）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原值20万元及以上大型科研设施与仪器开放率（10分）</w:t>
            </w: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纳入省级网络管理服务平台的科研设施与仪器占本单位应开放总数的比例（10分）（95％以上为10分、85％-95％为8分、75％-85％为6分、50％-75％为5分、50％以下为0分）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Merge w:val="restart"/>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实验技术队伍建设情况（10分）</w:t>
            </w: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是否制定实验技术人员岗位、培训、薪酬、评价等管理制度（4分）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Merge/>
            <w:vAlign w:val="center"/>
          </w:tcPr>
          <w:p w:rsidR="00483A99" w:rsidRDefault="00483A99" w:rsidP="008333E4">
            <w:pPr>
              <w:spacing w:line="280" w:lineRule="exact"/>
              <w:rPr>
                <w:rFonts w:ascii="仿宋_GB2312" w:eastAsia="仿宋_GB2312" w:hAnsi="仿宋_GB2312" w:cs="仿宋_GB2312"/>
                <w:sz w:val="24"/>
              </w:rPr>
            </w:pP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年度是否组织实验人员开展专业培训（3分）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Merge/>
            <w:vAlign w:val="center"/>
          </w:tcPr>
          <w:p w:rsidR="00483A99" w:rsidRDefault="00483A99" w:rsidP="008333E4">
            <w:pPr>
              <w:spacing w:line="280" w:lineRule="exact"/>
              <w:rPr>
                <w:rFonts w:ascii="仿宋_GB2312" w:eastAsia="仿宋_GB2312" w:hAnsi="仿宋_GB2312" w:cs="仿宋_GB2312"/>
                <w:sz w:val="24"/>
              </w:rPr>
            </w:pP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是否在内部对实验人员开展评价考核（3分）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Merge w:val="restart"/>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在线服务平台建设及运行情况（10分）</w:t>
            </w: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是否建立了在线服务平台(4分)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Merge/>
            <w:vAlign w:val="center"/>
          </w:tcPr>
          <w:p w:rsidR="00483A99" w:rsidRDefault="00483A99" w:rsidP="008333E4">
            <w:pPr>
              <w:spacing w:line="280" w:lineRule="exact"/>
              <w:rPr>
                <w:rFonts w:ascii="仿宋_GB2312" w:eastAsia="仿宋_GB2312" w:hAnsi="仿宋_GB2312" w:cs="仿宋_GB2312"/>
                <w:sz w:val="24"/>
              </w:rPr>
            </w:pP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在线服务平台是否与山西省大型科研设施与仪器共享服务平台进行了对接（3分）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Merge/>
            <w:vAlign w:val="center"/>
          </w:tcPr>
          <w:p w:rsidR="00483A99" w:rsidRDefault="00483A99" w:rsidP="008333E4">
            <w:pPr>
              <w:spacing w:line="280" w:lineRule="exact"/>
              <w:rPr>
                <w:rFonts w:ascii="仿宋_GB2312" w:eastAsia="仿宋_GB2312" w:hAnsi="仿宋_GB2312" w:cs="仿宋_GB2312"/>
                <w:sz w:val="24"/>
              </w:rPr>
            </w:pP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纳入在线服务平台的仪器数量占应开放仪器总数量的比例（3分）</w:t>
            </w:r>
          </w:p>
        </w:tc>
      </w:tr>
      <w:tr w:rsidR="00483A99" w:rsidTr="008333E4">
        <w:trPr>
          <w:trHeight w:val="522"/>
          <w:jc w:val="center"/>
        </w:trPr>
        <w:tc>
          <w:tcPr>
            <w:tcW w:w="1560" w:type="dxa"/>
            <w:vMerge w:val="restart"/>
            <w:vAlign w:val="center"/>
          </w:tcPr>
          <w:p w:rsidR="00483A99" w:rsidRDefault="00483A99" w:rsidP="008333E4">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运行使用</w:t>
            </w:r>
          </w:p>
          <w:p w:rsidR="00483A99" w:rsidRDefault="00483A99" w:rsidP="008333E4">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p w:rsidR="00483A99" w:rsidRDefault="00483A99" w:rsidP="008333E4">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（40分）</w:t>
            </w:r>
          </w:p>
        </w:tc>
        <w:tc>
          <w:tcPr>
            <w:tcW w:w="1985"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仪器年平均有效工作机时（20分）</w:t>
            </w:r>
          </w:p>
        </w:tc>
        <w:tc>
          <w:tcPr>
            <w:tcW w:w="5953" w:type="dxa"/>
            <w:vAlign w:val="center"/>
          </w:tcPr>
          <w:p w:rsidR="00483A99" w:rsidRDefault="00483A99" w:rsidP="008333E4">
            <w:pPr>
              <w:spacing w:line="280" w:lineRule="exact"/>
              <w:rPr>
                <w:rFonts w:ascii="仿宋_GB2312" w:eastAsia="仿宋_GB2312" w:hAnsi="仿宋_GB2312" w:cs="仿宋_GB2312"/>
                <w:color w:val="FF0000"/>
                <w:sz w:val="24"/>
              </w:rPr>
            </w:pPr>
            <w:r>
              <w:rPr>
                <w:rFonts w:ascii="仿宋_GB2312" w:eastAsia="仿宋_GB2312" w:hAnsi="仿宋_GB2312" w:cs="仿宋_GB2312" w:hint="eastAsia"/>
                <w:sz w:val="24"/>
              </w:rPr>
              <w:t>已开放原值20万元及以上大型科研设施与仪器年平均有效工作机时（大于1000小时为20分、800-1000小时为15分、600-800小时为10分、400-600小时为5分、小于400小时为0分）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Align w:val="center"/>
          </w:tcPr>
          <w:p w:rsidR="00483A99" w:rsidRDefault="00483A99" w:rsidP="008333E4">
            <w:pPr>
              <w:pStyle w:val="a3"/>
              <w:spacing w:beforeAutospacing="0" w:afterAutospacing="0" w:line="280" w:lineRule="exact"/>
              <w:jc w:val="both"/>
              <w:rPr>
                <w:rFonts w:ascii="仿宋_GB2312" w:eastAsia="仿宋_GB2312" w:hAnsi="仿宋_GB2312" w:cs="仿宋_GB2312"/>
                <w:kern w:val="2"/>
              </w:rPr>
            </w:pPr>
            <w:r>
              <w:rPr>
                <w:rFonts w:ascii="仿宋_GB2312" w:eastAsia="仿宋_GB2312" w:hAnsi="仿宋_GB2312" w:cs="仿宋_GB2312" w:hint="eastAsia"/>
                <w:kern w:val="2"/>
              </w:rPr>
              <w:t>运行使用成效（20）</w:t>
            </w:r>
          </w:p>
        </w:tc>
        <w:tc>
          <w:tcPr>
            <w:tcW w:w="5953" w:type="dxa"/>
            <w:vAlign w:val="center"/>
          </w:tcPr>
          <w:p w:rsidR="00483A99" w:rsidRDefault="00483A99" w:rsidP="008333E4">
            <w:pPr>
              <w:pStyle w:val="a3"/>
              <w:spacing w:beforeAutospacing="0" w:afterAutospacing="0" w:line="280" w:lineRule="exact"/>
              <w:contextualSpacing/>
              <w:jc w:val="both"/>
              <w:rPr>
                <w:rFonts w:ascii="仿宋_GB2312" w:eastAsia="仿宋_GB2312" w:hAnsi="仿宋_GB2312" w:cs="仿宋_GB2312"/>
                <w:kern w:val="2"/>
              </w:rPr>
            </w:pPr>
            <w:r>
              <w:rPr>
                <w:rFonts w:ascii="仿宋_GB2312" w:eastAsia="仿宋_GB2312" w:hAnsi="仿宋_GB2312" w:cs="仿宋_GB2312" w:hint="eastAsia"/>
                <w:kern w:val="2"/>
              </w:rPr>
              <w:t>已开放原值20万元及以上大型科研设施与仪器支撑本单位科技创新、科研任务的具体成效。（专家打分）</w:t>
            </w:r>
          </w:p>
        </w:tc>
      </w:tr>
      <w:tr w:rsidR="00483A99" w:rsidTr="008333E4">
        <w:trPr>
          <w:trHeight w:val="522"/>
          <w:jc w:val="center"/>
        </w:trPr>
        <w:tc>
          <w:tcPr>
            <w:tcW w:w="1560" w:type="dxa"/>
            <w:vMerge w:val="restart"/>
            <w:vAlign w:val="center"/>
          </w:tcPr>
          <w:p w:rsidR="00483A99" w:rsidRDefault="00483A99" w:rsidP="008333E4">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共享服务</w:t>
            </w:r>
          </w:p>
          <w:p w:rsidR="00483A99" w:rsidRDefault="00483A99" w:rsidP="008333E4">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成效</w:t>
            </w:r>
          </w:p>
          <w:p w:rsidR="00483A99" w:rsidRDefault="00483A99" w:rsidP="008333E4">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（20分）</w:t>
            </w:r>
          </w:p>
        </w:tc>
        <w:tc>
          <w:tcPr>
            <w:tcW w:w="1985"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共享率（10分）</w:t>
            </w: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年平均对外服务机时（大于200小时为10分、150-200小时为8分、100-150小时为6分、50-100小时为4分、小于50小时为0分）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Merge w:val="restart"/>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对外服务成效及用户评价（10）</w:t>
            </w: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支撑对外服务单位科技创新的科技成果（4分）</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Merge/>
            <w:vAlign w:val="center"/>
          </w:tcPr>
          <w:p w:rsidR="00483A99" w:rsidRDefault="00483A99" w:rsidP="008333E4">
            <w:pPr>
              <w:spacing w:line="280" w:lineRule="exact"/>
              <w:rPr>
                <w:rFonts w:ascii="仿宋_GB2312" w:eastAsia="仿宋_GB2312" w:hAnsi="仿宋_GB2312" w:cs="仿宋_GB2312"/>
                <w:sz w:val="24"/>
              </w:rPr>
            </w:pP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对外服务收入情况及典型案例（3）</w:t>
            </w:r>
          </w:p>
        </w:tc>
      </w:tr>
      <w:tr w:rsidR="00483A99" w:rsidTr="008333E4">
        <w:trPr>
          <w:trHeight w:val="522"/>
          <w:jc w:val="center"/>
        </w:trPr>
        <w:tc>
          <w:tcPr>
            <w:tcW w:w="1560" w:type="dxa"/>
            <w:vMerge/>
            <w:vAlign w:val="center"/>
          </w:tcPr>
          <w:p w:rsidR="00483A99" w:rsidRDefault="00483A99" w:rsidP="008333E4">
            <w:pPr>
              <w:spacing w:line="280" w:lineRule="exact"/>
              <w:jc w:val="center"/>
              <w:rPr>
                <w:rFonts w:ascii="仿宋_GB2312" w:eastAsia="仿宋_GB2312" w:hAnsi="仿宋_GB2312" w:cs="仿宋_GB2312"/>
                <w:sz w:val="24"/>
              </w:rPr>
            </w:pPr>
          </w:p>
        </w:tc>
        <w:tc>
          <w:tcPr>
            <w:tcW w:w="1985" w:type="dxa"/>
            <w:vMerge/>
            <w:vAlign w:val="center"/>
          </w:tcPr>
          <w:p w:rsidR="00483A99" w:rsidRDefault="00483A99" w:rsidP="008333E4">
            <w:pPr>
              <w:spacing w:line="280" w:lineRule="exact"/>
              <w:rPr>
                <w:rFonts w:ascii="仿宋_GB2312" w:eastAsia="仿宋_GB2312" w:hAnsi="仿宋_GB2312" w:cs="仿宋_GB2312"/>
                <w:sz w:val="24"/>
              </w:rPr>
            </w:pPr>
          </w:p>
        </w:tc>
        <w:tc>
          <w:tcPr>
            <w:tcW w:w="5953" w:type="dxa"/>
            <w:vAlign w:val="center"/>
          </w:tcPr>
          <w:p w:rsidR="00483A99" w:rsidRDefault="00483A99" w:rsidP="008333E4">
            <w:pPr>
              <w:spacing w:line="280" w:lineRule="exact"/>
              <w:rPr>
                <w:rFonts w:ascii="仿宋_GB2312" w:eastAsia="仿宋_GB2312" w:hAnsi="仿宋_GB2312" w:cs="仿宋_GB2312"/>
                <w:sz w:val="24"/>
              </w:rPr>
            </w:pPr>
            <w:r>
              <w:rPr>
                <w:rFonts w:ascii="仿宋_GB2312" w:eastAsia="仿宋_GB2312" w:hAnsi="仿宋_GB2312" w:cs="仿宋_GB2312" w:hint="eastAsia"/>
                <w:sz w:val="24"/>
              </w:rPr>
              <w:t>用户评价（3分）</w:t>
            </w:r>
          </w:p>
        </w:tc>
      </w:tr>
    </w:tbl>
    <w:p w:rsidR="003463FF" w:rsidRPr="00483A99" w:rsidRDefault="00483A99">
      <w:pPr>
        <w:rPr>
          <w:rFonts w:ascii="仿宋_GB2312" w:eastAsia="仿宋_GB2312"/>
          <w:sz w:val="32"/>
          <w:szCs w:val="32"/>
        </w:rPr>
      </w:pPr>
    </w:p>
    <w:sectPr w:rsidR="003463FF" w:rsidRPr="00483A99" w:rsidSect="00750B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4F81"/>
    <w:rsid w:val="002E4F81"/>
    <w:rsid w:val="004351C8"/>
    <w:rsid w:val="00483A99"/>
    <w:rsid w:val="006D0591"/>
    <w:rsid w:val="00750BAB"/>
    <w:rsid w:val="00B513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8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E4F81"/>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2023-01-17T11:56:00Z</dcterms:created>
  <dcterms:modified xsi:type="dcterms:W3CDTF">2023-01-17T11:56:00Z</dcterms:modified>
</cp:coreProperties>
</file>