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000000" w:themeColor="text1"/>
          <w:sz w:val="32"/>
          <w:szCs w:val="20"/>
          <w:lang w:eastAsia="zh-CN"/>
          <w14:textFill>
            <w14:solidFill>
              <w14:schemeClr w14:val="tx1"/>
            </w14:solidFill>
          </w14:textFill>
        </w:rPr>
      </w:pPr>
      <w:r>
        <w:rPr>
          <w:rFonts w:hint="eastAsia" w:ascii="黑体" w:hAnsi="黑体" w:eastAsia="黑体" w:cs="黑体"/>
          <w:color w:val="000000" w:themeColor="text1"/>
          <w:sz w:val="32"/>
          <w:szCs w:val="20"/>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省基础研究计划（产业发展类）联合资助项目管理办法（试行）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color w:val="000000"/>
          <w:sz w:val="32"/>
          <w:szCs w:val="32"/>
          <w:highlight w:val="none"/>
          <w:lang w:val="en-US" w:eastAsia="zh-CN"/>
        </w:rPr>
        <w:t>为强化省基础研究计划有组织创新，引导与整合社会资源投入基础研究，加强与我省经济社会发展需求的对接，推动我省自主创新能力提升，</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规范</w:t>
      </w:r>
      <w:r>
        <w:rPr>
          <w:rFonts w:hint="eastAsia" w:ascii="仿宋_GB2312" w:hAnsi="仿宋_GB2312" w:eastAsia="仿宋_GB2312" w:cs="仿宋_GB2312"/>
          <w:b w:val="0"/>
          <w:bCs/>
          <w:color w:val="000000" w:themeColor="text1"/>
          <w:sz w:val="32"/>
          <w:szCs w:val="32"/>
          <w:highlight w:val="none"/>
          <w:u w:val="none" w:color="auto"/>
          <w:lang w:eastAsia="zh-CN"/>
          <w14:textFill>
            <w14:solidFill>
              <w14:schemeClr w14:val="tx1"/>
            </w14:solidFill>
          </w14:textFill>
        </w:rPr>
        <w:t>省基础研究计划（产业发展类）联合资助</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项目管理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根据《山西省科技计划项目管理办法》《省基础研究计划项目管理办法（试行）》</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等有关</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规定，制定本办法。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b w:val="0"/>
          <w:bCs w:val="0"/>
          <w:color w:val="000000"/>
          <w:sz w:val="32"/>
          <w:szCs w:val="32"/>
          <w:highlight w:val="none"/>
          <w:lang w:val="en-US" w:eastAsia="zh-CN"/>
        </w:rPr>
        <w:t>省基础研究计划（产业发展类）联合资助项目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（以下简称省</w:t>
      </w:r>
      <w:r>
        <w:rPr>
          <w:rFonts w:hint="eastAsia" w:ascii="仿宋_GB2312" w:hAnsi="仿宋_GB2312" w:eastAsia="仿宋_GB2312" w:cs="仿宋_GB2312"/>
          <w:b w:val="0"/>
          <w:bCs/>
          <w:color w:val="000000"/>
          <w:sz w:val="32"/>
          <w:szCs w:val="32"/>
          <w:highlight w:val="none"/>
          <w:lang w:val="en-US" w:eastAsia="zh-CN"/>
        </w:rPr>
        <w:t>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旨在发挥</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政府资金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导向</w:t>
      </w:r>
      <w:r>
        <w:rPr>
          <w:rFonts w:hint="eastAsia" w:ascii="仿宋_GB2312" w:hAnsi="仿宋_GB2312" w:eastAsia="仿宋_GB2312" w:cs="仿宋_GB2312"/>
          <w:color w:val="000000" w:themeColor="text1"/>
          <w:sz w:val="32"/>
          <w:szCs w:val="32"/>
          <w:highlight w:val="none"/>
          <w14:textFill>
            <w14:solidFill>
              <w14:schemeClr w14:val="tx1"/>
            </w14:solidFill>
          </w14:textFill>
        </w:rPr>
        <w:t>作用，由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山西省科学技术厅（以下简称省科技厅）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与联合资助方共同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我省区域创新发展、产业（行业）领域创新突破、企业关键核心技术攻关等</w:t>
      </w:r>
      <w:r>
        <w:rPr>
          <w:rFonts w:hint="eastAsia" w:ascii="仿宋_GB2312" w:hAnsi="仿宋_GB2312" w:eastAsia="仿宋_GB2312" w:cs="仿宋_GB2312"/>
          <w:color w:val="000000" w:themeColor="text1"/>
          <w:sz w:val="32"/>
          <w:szCs w:val="32"/>
          <w:highlight w:val="none"/>
          <w14:textFill>
            <w14:solidFill>
              <w14:schemeClr w14:val="tx1"/>
            </w14:solidFill>
          </w14:textFill>
        </w:rPr>
        <w:t>需求，吸引和集聚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省内</w:t>
      </w:r>
      <w:r>
        <w:rPr>
          <w:rFonts w:hint="eastAsia" w:ascii="仿宋_GB2312" w:hAnsi="仿宋_GB2312" w:eastAsia="仿宋_GB2312" w:cs="仿宋_GB2312"/>
          <w:color w:val="000000" w:themeColor="text1"/>
          <w:sz w:val="32"/>
          <w:szCs w:val="32"/>
          <w:highlight w:val="none"/>
          <w14:textFill>
            <w14:solidFill>
              <w14:schemeClr w14:val="tx1"/>
            </w14:solidFill>
          </w14:textFill>
        </w:rPr>
        <w:t>优势科研力量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，共同</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各设区市、产业（行业）</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w:t>
      </w:r>
      <w:r>
        <w:rPr>
          <w:rFonts w:hint="eastAsia" w:ascii="仿宋_GB2312" w:hAnsi="仿宋_GB2312" w:eastAsia="仿宋_GB2312" w:cs="仿宋_GB2312"/>
          <w:color w:val="000000" w:themeColor="text1"/>
          <w:sz w:val="32"/>
          <w:szCs w:val="32"/>
          <w:highlight w:val="none"/>
          <w14:textFill>
            <w14:solidFill>
              <w14:schemeClr w14:val="tx1"/>
            </w14:solidFill>
          </w14:textFill>
        </w:rPr>
        <w:t>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与高校和科研机构合作</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支撑和引领我省全方位高质量发展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主要包括：</w:t>
      </w: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设区市</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产业（行业）管理部门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省级以上认定的创新平台实体。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与联合资助方签订</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合作协议（以下简称合作协议），在商定的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具体科技</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、运行机制、合作期限等内容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按照联合资助方主体法人性质不同，省联合资助项目具体分为区域类、产业（行业）类和企业类等，合作期限一般为三至五年。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运行和管理方式</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统一发布项目需求、统一评审程序、统一项目管理，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面向全省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公平竞争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，择优支持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 xml:space="preserve">第二章 </w:t>
      </w:r>
      <w:r>
        <w:rPr>
          <w:rFonts w:hint="eastAsia" w:ascii="黑体" w:hAnsi="黑体" w:eastAsia="黑体"/>
          <w:color w:val="000000" w:themeColor="text1"/>
          <w:sz w:val="32"/>
          <w:szCs w:val="32"/>
          <w:highlight w:val="none"/>
          <w:lang w:eastAsia="zh-CN"/>
          <w14:textFill>
            <w14:solidFill>
              <w14:schemeClr w14:val="tx1"/>
            </w14:solidFill>
          </w14:textFill>
        </w:rPr>
        <w:t>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省科技厅与各</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方成立</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管</w:t>
      </w:r>
      <w:r>
        <w:rPr>
          <w:rFonts w:hint="eastAsia" w:ascii="仿宋_GB2312" w:hAnsi="仿宋_GB2312" w:eastAsia="仿宋_GB2312" w:cs="仿宋_GB2312"/>
          <w:color w:val="000000" w:themeColor="text1"/>
          <w:sz w:val="32"/>
          <w:szCs w:val="32"/>
          <w:highlight w:val="none"/>
          <w14:textFill>
            <w14:solidFill>
              <w14:schemeClr w14:val="tx1"/>
            </w14:solidFill>
          </w14:textFill>
        </w:rPr>
        <w:t>理委员会(以下简称管委会)，负责审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需求、资助计划及研究决定省联合资助项目运行</w:t>
      </w:r>
      <w:r>
        <w:rPr>
          <w:rFonts w:hint="eastAsia" w:ascii="仿宋_GB2312" w:hAnsi="仿宋_GB2312" w:eastAsia="仿宋_GB2312" w:cs="仿宋_GB2312"/>
          <w:color w:val="000000" w:themeColor="text1"/>
          <w:sz w:val="32"/>
          <w:szCs w:val="32"/>
          <w:highlight w:val="none"/>
          <w14:textFill>
            <w14:solidFill>
              <w14:schemeClr w14:val="tx1"/>
            </w14:solidFill>
          </w14:textFill>
        </w:rPr>
        <w:t>中的重大事项。管委会成员由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双方</w:t>
      </w:r>
      <w:r>
        <w:rPr>
          <w:rFonts w:hint="eastAsia" w:ascii="仿宋_GB2312" w:hAnsi="仿宋_GB2312" w:eastAsia="仿宋_GB2312" w:cs="仿宋_GB2312"/>
          <w:color w:val="000000" w:themeColor="text1"/>
          <w:sz w:val="32"/>
          <w:szCs w:val="32"/>
          <w:highlight w:val="none"/>
          <w14:textFill>
            <w14:solidFill>
              <w14:schemeClr w14:val="tx1"/>
            </w14:solidFill>
          </w14:textFill>
        </w:rPr>
        <w:t>推荐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相关负责人组成。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管委会下设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管理办公室(以下简称管理办)，成员由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省科技厅相关处室与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方有关人员组成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筹划</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组织管委会会议、联席工作会议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论证、项目审批及项目实施管理等相关工作。管理办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设在省科技厅基础研究处。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出</w:t>
      </w:r>
      <w:r>
        <w:rPr>
          <w:rFonts w:hint="eastAsia" w:ascii="黑体" w:hAnsi="黑体" w:eastAsia="黑体"/>
          <w:color w:val="000000" w:themeColor="text1"/>
          <w:sz w:val="32"/>
          <w:szCs w:val="32"/>
          <w:highlight w:val="none"/>
          <w14:textFill>
            <w14:solidFill>
              <w14:schemeClr w14:val="tx1"/>
            </w14:solidFill>
          </w14:textFill>
        </w:rPr>
        <w:t>资管理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sz w:val="32"/>
          <w:szCs w:val="32"/>
          <w:highlight w:val="none"/>
          <w:lang w:val="en-US" w:eastAsia="zh-CN"/>
        </w:rPr>
        <w:t xml:space="preserve">第八条 </w:t>
      </w:r>
      <w:r>
        <w:rPr>
          <w:rFonts w:hint="eastAsia" w:ascii="仿宋_GB2312" w:hAnsi="仿宋_GB2312" w:eastAsia="仿宋_GB2312" w:cs="仿宋_GB2312"/>
          <w:b w:val="0"/>
          <w:bCs w:val="0"/>
          <w:color w:val="000000"/>
          <w:sz w:val="32"/>
          <w:szCs w:val="32"/>
          <w:highlight w:val="none"/>
          <w:lang w:val="en-US" w:eastAsia="zh-CN"/>
        </w:rPr>
        <w:t>省联合资助项目资助经费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产业（行业）类、区域类和企业类分别对应</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1∶3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共同出资，</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联合资助方出资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w:t>
      </w:r>
      <w:r>
        <w:rPr>
          <w:rFonts w:hint="eastAsia" w:ascii="仿宋_GB2312" w:hAnsi="仿宋_GB2312" w:eastAsia="仿宋_GB2312" w:cs="仿宋_GB2312"/>
          <w:color w:val="000000" w:themeColor="text1"/>
          <w:sz w:val="32"/>
          <w:szCs w:val="32"/>
          <w:highlight w:val="none"/>
          <w14:textFill>
            <w14:solidFill>
              <w14:schemeClr w14:val="tx1"/>
            </w14:solidFill>
          </w14:textFill>
        </w:rPr>
        <w:t>额一般不低于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省联合资助项目标注</w:t>
      </w: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标准简</w:t>
      </w:r>
      <w:r>
        <w:rPr>
          <w:rFonts w:hint="eastAsia" w:ascii="仿宋_GB2312" w:hAnsi="仿宋_GB2312" w:eastAsia="仿宋_GB2312" w:cs="仿宋_GB2312"/>
          <w:color w:val="000000" w:themeColor="text1"/>
          <w:sz w:val="32"/>
          <w:szCs w:val="32"/>
          <w:highlight w:val="none"/>
          <w14:textFill>
            <w14:solidFill>
              <w14:schemeClr w14:val="tx1"/>
            </w14:solidFill>
          </w14:textFill>
        </w:rPr>
        <w:t>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第九条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联合资助经费由出资各方在本级财务账户内单独设科目管理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，以保证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正常运转。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14:textFill>
            <w14:solidFill>
              <w14:schemeClr w14:val="tx1"/>
            </w14:solidFill>
          </w14:textFill>
        </w:rPr>
        <w:t>方应于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合作协议签署生效后，按约定保障经</w:t>
      </w:r>
      <w:r>
        <w:rPr>
          <w:rFonts w:hint="eastAsia" w:ascii="仿宋_GB2312" w:hAnsi="仿宋_GB2312" w:eastAsia="仿宋_GB2312" w:cs="仿宋_GB2312"/>
          <w:color w:val="000000" w:themeColor="text1"/>
          <w:sz w:val="32"/>
          <w:szCs w:val="32"/>
          <w:highlight w:val="none"/>
          <w14:textFill>
            <w14:solidFill>
              <w14:schemeClr w14:val="tx1"/>
            </w14:solidFill>
          </w14:textFill>
        </w:rPr>
        <w:t>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列支，确保随时能按约定及时拨付。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联合资助经费由出资各方在本级财政（财务）部门单独管理，省级财政资助经费在年度预算中单独列支。各方应于合作协议签署生效后，按约定保障经费。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统一编制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年度资助计划，当年未完成的资助计划转入下一年度资助计划，继续滚动使用。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第十一条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参照《山西省人民政府办公厅关于改革完善省级财政科研经费管理的实施意见》（晋政办发〔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根据项目批准和进展情况，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通知协议各方</w:t>
      </w:r>
      <w:r>
        <w:rPr>
          <w:rFonts w:hint="eastAsia" w:ascii="仿宋_GB2312" w:hAnsi="仿宋_GB2312" w:eastAsia="仿宋_GB2312" w:cs="仿宋_GB2312"/>
          <w:color w:val="000000" w:themeColor="text1"/>
          <w:sz w:val="32"/>
          <w:szCs w:val="32"/>
          <w:highlight w:val="none"/>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所管理的</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highlight w:val="none"/>
          <w14:textFill>
            <w14:solidFill>
              <w14:schemeClr w14:val="tx1"/>
            </w14:solidFill>
          </w14:textFill>
        </w:rPr>
        <w:t>拨付至项目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人如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14:textFill>
            <w14:solidFill>
              <w14:schemeClr w14:val="tx1"/>
            </w14:solidFill>
          </w14:textFill>
        </w:rPr>
        <w:t>省内调动工作，需把资助项目带到新单位继续开展研究的，应写出书面报告，获得调出、调入单位同意并签署意见，经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审查批准后，可将结余经费划拨至新单位继续使用。</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项目负责人如调往省外工作，受资助项目按程序变更负责人。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管理费用</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：项目需求论证、形式审查、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项目通讯评审、会议评审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、现场考察及</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项目交流、检查、结题、调研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绩效评估等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highlight w:val="none"/>
          <w14:textFill>
            <w14:solidFill>
              <w14:schemeClr w14:val="tx1"/>
            </w14:solidFill>
          </w14:textFill>
        </w:rPr>
        <w:t>费用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根据每年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经费投入</w:t>
      </w:r>
      <w:r>
        <w:rPr>
          <w:rFonts w:hint="eastAsia" w:ascii="仿宋_GB2312" w:hAnsi="仿宋_GB2312" w:eastAsia="仿宋_GB2312" w:cs="仿宋_GB2312"/>
          <w:color w:val="000000" w:themeColor="text1"/>
          <w:sz w:val="32"/>
          <w:szCs w:val="32"/>
          <w:highlight w:val="none"/>
          <w14:textFill>
            <w14:solidFill>
              <w14:schemeClr w14:val="tx1"/>
            </w14:solidFill>
          </w14:textFill>
        </w:rPr>
        <w:t>情况按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不超过8%</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的比例从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投入的年度总经费中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财务预算专项管理，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按照管理办要求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通过验收的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，结余资金留归项目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单位应将结余资金统筹用于科研活动直接支出。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项目验收结果为“结题”的，结余资金按出资比例确定财政资金份额并收回。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highlight w:val="none"/>
          <w:lang w:val="en-US"/>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第四章 实施管理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十五条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省基础研究计划项目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管理办法》进行管理，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参照产业发展类</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予以资助。有关限项规定在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年度</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需求发布</w:t>
      </w:r>
      <w:r>
        <w:rPr>
          <w:rFonts w:hint="eastAsia" w:ascii="仿宋_GB2312" w:hAnsi="仿宋_GB2312" w:eastAsia="仿宋_GB2312" w:cs="仿宋_GB2312"/>
          <w:color w:val="000000" w:themeColor="text1"/>
          <w:sz w:val="32"/>
          <w:szCs w:val="32"/>
          <w:highlight w:val="none"/>
          <w14:textFill>
            <w14:solidFill>
              <w14:schemeClr w14:val="tx1"/>
            </w14:solidFill>
          </w14:textFill>
        </w:rPr>
        <w:t>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w:t>
      </w:r>
      <w:r>
        <w:rPr>
          <w:rFonts w:hint="eastAsia" w:ascii="仿宋_GB2312" w:hAnsi="仿宋_GB2312" w:eastAsia="仿宋_GB2312" w:cs="仿宋_GB2312"/>
          <w:color w:val="000000" w:themeColor="text1"/>
          <w:sz w:val="32"/>
          <w:szCs w:val="32"/>
          <w:highlight w:val="none"/>
          <w14:textFill>
            <w14:solidFill>
              <w14:schemeClr w14:val="tx1"/>
            </w14:solidFill>
          </w14:textFill>
        </w:rPr>
        <w:t>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知</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十六条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需求初步</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建议，管理办负责汇总整理各方项目建议，分领域组织专家论证，召开联席工作会议讨论。年度项目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由管委会审定。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十七条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发布、受理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，并组织同行专家进行通讯评审和会议评审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组织召开联席工作会议，根据评审结果确定拟批准项目数量、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十八条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参与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和结题审查等交流活动，注重成果的总结和发掘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科学</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研究数据共享和研究成果的转移转化。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十九条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项目承担单位定期提交绩效自评价报告。</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组织第三方机构对其实施效果进行绩效评估，提高资助效益。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二十条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管理办应每年向管委会汇报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经费使用情况，以强化监督管理。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受</w:t>
      </w:r>
      <w:r>
        <w:rPr>
          <w:rFonts w:hint="eastAsia" w:ascii="仿宋_GB2312" w:hAnsi="仿宋_GB2312" w:eastAsia="仿宋_GB2312" w:cs="仿宋_GB2312"/>
          <w:color w:val="000000" w:themeColor="text1"/>
          <w:sz w:val="32"/>
          <w:szCs w:val="32"/>
          <w:highlight w:val="none"/>
          <w14:textFill>
            <w14:solidFill>
              <w14:schemeClr w14:val="tx1"/>
            </w14:solidFill>
          </w14:textFill>
        </w:rPr>
        <w:t>资助项目形成的有关论文、专著、研究报告、软件、专利及获奖、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14:textFill>
            <w14:solidFill>
              <w14:schemeClr w14:val="tx1"/>
            </w14:solidFill>
          </w14:textFill>
        </w:rPr>
        <w:t>成果等，须注明获得“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（项目批准号）”或作有关说明。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所产生的研究成果及其所形成的知识产权的归属、转移、转让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协议约定执行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未作约定的</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国家相关法律法规</w:t>
      </w:r>
      <w:r>
        <w:rPr>
          <w:rFonts w:hint="eastAsia" w:ascii="仿宋_GB2312" w:hAnsi="仿宋_GB2312" w:eastAsia="仿宋_GB2312" w:cs="仿宋_GB2312"/>
          <w:color w:val="000000" w:themeColor="text1"/>
          <w:sz w:val="32"/>
          <w:szCs w:val="32"/>
          <w:highlight w:val="none"/>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资助项目因故终止或撤销，项目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单位要及时清理账目，将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结余资金及用于项目科研活动之外的资金或全部资金按比例退还</w:t>
      </w:r>
      <w:r>
        <w:rPr>
          <w:rFonts w:hint="eastAsia" w:ascii="仿宋_GB2312" w:hAnsi="仿宋_GB2312" w:eastAsia="仿宋_GB2312" w:cs="仿宋_GB2312"/>
          <w:color w:val="000000" w:themeColor="text1"/>
          <w:sz w:val="32"/>
          <w:szCs w:val="32"/>
          <w:highlight w:val="none"/>
          <w14:textFill>
            <w14:solidFill>
              <w14:schemeClr w14:val="tx1"/>
            </w14:solidFill>
          </w14:textFill>
        </w:rPr>
        <w:t>出资方。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合作协议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执行过程中的任何重大变更，应由省科技厅与联合资助方共同协商并以书面形式签署补充协议为准，补充协议与原协议具有同等法律效力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w:t>
      </w:r>
      <w:r>
        <w:rPr>
          <w:rFonts w:hint="eastAsia" w:ascii="黑体" w:hAnsi="黑体" w:eastAsia="黑体"/>
          <w:color w:val="000000" w:themeColor="text1"/>
          <w:sz w:val="32"/>
          <w:szCs w:val="32"/>
          <w:highlight w:val="none"/>
          <w:lang w:eastAsia="zh-CN"/>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章 附</w:t>
      </w: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本办法由省科技厅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本办法自20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highlight w:val="none"/>
          <w14:textFill>
            <w14:solidFill>
              <w14:schemeClr w14:val="tx1"/>
            </w14:solidFill>
          </w14:textFill>
        </w:rPr>
        <w:t>日起实施。</w:t>
      </w:r>
      <w:bookmarkStart w:id="0" w:name="_GoBack"/>
      <w:bookmarkEnd w:id="0"/>
    </w:p>
    <w:sectPr>
      <w:headerReference r:id="rId3" w:type="default"/>
      <w:footerReference r:id="rId4" w:type="default"/>
      <w:pgSz w:w="11906" w:h="16838"/>
      <w:pgMar w:top="2097" w:right="1474" w:bottom="1984" w:left="158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sz w:val="24"/>
      </w:rPr>
    </w:pPr>
    <w:r>
      <w:rPr>
        <w:rStyle w:val="6"/>
        <w:rFonts w:hint="eastAsia"/>
        <w:sz w:val="24"/>
        <w:lang w:eastAsia="zh-CN"/>
      </w:rPr>
      <w:t>—</w:t>
    </w:r>
    <w:r>
      <w:rPr>
        <w:sz w:val="24"/>
      </w:rPr>
      <w:fldChar w:fldCharType="begin"/>
    </w:r>
    <w:r>
      <w:rPr>
        <w:rStyle w:val="6"/>
        <w:sz w:val="24"/>
      </w:rPr>
      <w:instrText xml:space="preserve"> PAGE  </w:instrText>
    </w:r>
    <w:r>
      <w:rPr>
        <w:sz w:val="24"/>
      </w:rPr>
      <w:fldChar w:fldCharType="separate"/>
    </w:r>
    <w:r>
      <w:rPr>
        <w:rStyle w:val="6"/>
        <w:sz w:val="24"/>
      </w:rPr>
      <w:t>1</w:t>
    </w:r>
    <w:r>
      <w:rPr>
        <w:sz w:val="24"/>
      </w:rPr>
      <w:fldChar w:fldCharType="end"/>
    </w:r>
    <w:r>
      <w:rPr>
        <w:rStyle w:val="6"/>
        <w:rFonts w:hint="eastAsia"/>
        <w:sz w:val="24"/>
        <w:lang w:eastAsia="zh-CN"/>
      </w:rPr>
      <w:t>—</w:t>
    </w:r>
  </w:p>
  <w:p>
    <w:pPr>
      <w:pStyle w:val="2"/>
      <w:ind w:right="360" w:firstLine="360" w:firstLineChars="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9E95E"/>
    <w:multiLevelType w:val="singleLevel"/>
    <w:tmpl w:val="3059E95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NTEyNmI5MGUyYjQ0ZWYxZGNkZjljNTQ0MzZkZjgifQ=="/>
  </w:docVars>
  <w:rsids>
    <w:rsidRoot w:val="534F664B"/>
    <w:rsid w:val="00431827"/>
    <w:rsid w:val="017A7B9B"/>
    <w:rsid w:val="03017D30"/>
    <w:rsid w:val="03825913"/>
    <w:rsid w:val="05DA1A74"/>
    <w:rsid w:val="09AB024D"/>
    <w:rsid w:val="0C63477C"/>
    <w:rsid w:val="0CCA4967"/>
    <w:rsid w:val="0D1B7B4D"/>
    <w:rsid w:val="0D461D6D"/>
    <w:rsid w:val="0E3405B8"/>
    <w:rsid w:val="10B677EA"/>
    <w:rsid w:val="165D1B91"/>
    <w:rsid w:val="187F7C86"/>
    <w:rsid w:val="196950B1"/>
    <w:rsid w:val="1C4C7E05"/>
    <w:rsid w:val="1C7109C0"/>
    <w:rsid w:val="1D2D3DBB"/>
    <w:rsid w:val="1DB374BE"/>
    <w:rsid w:val="1EC8718B"/>
    <w:rsid w:val="203254AD"/>
    <w:rsid w:val="2138024F"/>
    <w:rsid w:val="2241029D"/>
    <w:rsid w:val="224F6997"/>
    <w:rsid w:val="247C20A8"/>
    <w:rsid w:val="24E214D9"/>
    <w:rsid w:val="25EB26F5"/>
    <w:rsid w:val="2762154B"/>
    <w:rsid w:val="29C50DFA"/>
    <w:rsid w:val="2B162E02"/>
    <w:rsid w:val="2CB17B09"/>
    <w:rsid w:val="2CE57EBA"/>
    <w:rsid w:val="2DBB470D"/>
    <w:rsid w:val="2DE133A7"/>
    <w:rsid w:val="31174C04"/>
    <w:rsid w:val="32700F31"/>
    <w:rsid w:val="35B61B3F"/>
    <w:rsid w:val="35CA073E"/>
    <w:rsid w:val="369436B5"/>
    <w:rsid w:val="379E22D5"/>
    <w:rsid w:val="380C5C54"/>
    <w:rsid w:val="38F26354"/>
    <w:rsid w:val="3929719C"/>
    <w:rsid w:val="3B020CE3"/>
    <w:rsid w:val="3C6D4A93"/>
    <w:rsid w:val="3DA57EFF"/>
    <w:rsid w:val="3DED5838"/>
    <w:rsid w:val="3E54483F"/>
    <w:rsid w:val="3E8F70A4"/>
    <w:rsid w:val="3EB962F8"/>
    <w:rsid w:val="3FA20054"/>
    <w:rsid w:val="40991DA8"/>
    <w:rsid w:val="40C72802"/>
    <w:rsid w:val="4249450D"/>
    <w:rsid w:val="44CB1696"/>
    <w:rsid w:val="45C16599"/>
    <w:rsid w:val="476F352E"/>
    <w:rsid w:val="48113F49"/>
    <w:rsid w:val="497A6C4E"/>
    <w:rsid w:val="49E62424"/>
    <w:rsid w:val="4A8E402C"/>
    <w:rsid w:val="4D41465D"/>
    <w:rsid w:val="4D761B88"/>
    <w:rsid w:val="4D8A59E4"/>
    <w:rsid w:val="4E890362"/>
    <w:rsid w:val="4F907B20"/>
    <w:rsid w:val="5087739F"/>
    <w:rsid w:val="534F664B"/>
    <w:rsid w:val="53843FCA"/>
    <w:rsid w:val="55065A19"/>
    <w:rsid w:val="56691C9D"/>
    <w:rsid w:val="56CE6603"/>
    <w:rsid w:val="59AD333B"/>
    <w:rsid w:val="5A403219"/>
    <w:rsid w:val="5AB21D8F"/>
    <w:rsid w:val="5CA37781"/>
    <w:rsid w:val="5CAF3BDF"/>
    <w:rsid w:val="5D0E2B7E"/>
    <w:rsid w:val="5D332B65"/>
    <w:rsid w:val="5E4007C3"/>
    <w:rsid w:val="5E4A692D"/>
    <w:rsid w:val="5E6D0391"/>
    <w:rsid w:val="5FBC5C90"/>
    <w:rsid w:val="60A4166B"/>
    <w:rsid w:val="60FF1067"/>
    <w:rsid w:val="624F5E14"/>
    <w:rsid w:val="62712158"/>
    <w:rsid w:val="62B852C3"/>
    <w:rsid w:val="62E8424C"/>
    <w:rsid w:val="62EC1CDB"/>
    <w:rsid w:val="649E445B"/>
    <w:rsid w:val="6664166E"/>
    <w:rsid w:val="67694D70"/>
    <w:rsid w:val="67832E90"/>
    <w:rsid w:val="678E3457"/>
    <w:rsid w:val="67D26069"/>
    <w:rsid w:val="6A8226CA"/>
    <w:rsid w:val="6C9A322D"/>
    <w:rsid w:val="6CB061F9"/>
    <w:rsid w:val="6EDF5FA0"/>
    <w:rsid w:val="6EE4561F"/>
    <w:rsid w:val="6F271592"/>
    <w:rsid w:val="707E6891"/>
    <w:rsid w:val="70F01BC3"/>
    <w:rsid w:val="75D816D5"/>
    <w:rsid w:val="75F06371"/>
    <w:rsid w:val="764276CB"/>
    <w:rsid w:val="77165BF8"/>
    <w:rsid w:val="785F33D5"/>
    <w:rsid w:val="78E74258"/>
    <w:rsid w:val="7B1B0E92"/>
    <w:rsid w:val="7C9378B1"/>
    <w:rsid w:val="7E936366"/>
    <w:rsid w:val="7F530EE5"/>
    <w:rsid w:val="7F7E49A2"/>
    <w:rsid w:val="7FE27939"/>
    <w:rsid w:val="FFFCB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kltzcc</Company>
  <Pages>7</Pages>
  <Words>2560</Words>
  <Characters>2570</Characters>
  <Lines>0</Lines>
  <Paragraphs>0</Paragraphs>
  <TotalTime>195</TotalTime>
  <ScaleCrop>false</ScaleCrop>
  <LinksUpToDate>false</LinksUpToDate>
  <CharactersWithSpaces>2603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2021-04-15T10:27:00Z</dcterms:created>
  <dc:creator>胖胖龙1371381829</dc:creator>
  <cp:lastModifiedBy>greatwall</cp:lastModifiedBy>
  <cp:lastPrinted>2023-02-06T09:13:00Z</cp:lastPrinted>
  <dcterms:modified xsi:type="dcterms:W3CDTF">2023-02-27T19:01:18Z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FED6BB8458914DBD8A6A753B98580831</vt:lpwstr>
  </property>
</Properties>
</file>